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9"/>
        </w:rPr>
      </w:pPr>
    </w:p>
    <w:p>
      <w:pPr>
        <w:pStyle w:val="Heading1"/>
        <w:spacing w:before="93"/>
        <w:ind w:left="2553"/>
      </w:pPr>
      <w:r>
        <w:rPr>
          <w:color w:val="231F20"/>
        </w:rPr>
        <w:t>PADDC Announces New Funding Opportunity</w:t>
      </w:r>
    </w:p>
    <w:p>
      <w:pPr>
        <w:pStyle w:val="BodyText"/>
        <w:rPr>
          <w:b/>
          <w:sz w:val="26"/>
        </w:rPr>
      </w:pPr>
    </w:p>
    <w:p>
      <w:pPr>
        <w:pStyle w:val="BodyText"/>
        <w:spacing w:line="249" w:lineRule="auto" w:before="1"/>
        <w:ind w:left="119" w:right="129"/>
      </w:pPr>
      <w:r>
        <w:rPr>
          <w:color w:val="231F20"/>
        </w:rPr>
        <w:t>The Pennsylvania Developmental Disabilities Council has issued a Request for Application (RFA) for a two-year project on the topic of residential housing and services. Below is a summary of the project. The full RFA is available at</w:t>
      </w:r>
      <w:hyperlink r:id="rId5">
        <w:r>
          <w:rPr>
            <w:color w:val="231F20"/>
          </w:rPr>
          <w:t> www.paddc.org </w:t>
        </w:r>
      </w:hyperlink>
      <w:r>
        <w:rPr>
          <w:color w:val="231F20"/>
        </w:rPr>
        <w:t>under the Grants &amp; Funding tab, or by calling the Council office at 717-787-6057.</w:t>
      </w:r>
    </w:p>
    <w:p>
      <w:pPr>
        <w:pStyle w:val="BodyText"/>
        <w:spacing w:before="4"/>
        <w:rPr>
          <w:sz w:val="25"/>
        </w:rPr>
      </w:pPr>
    </w:p>
    <w:p>
      <w:pPr>
        <w:pStyle w:val="Heading1"/>
      </w:pPr>
      <w:r>
        <w:rPr>
          <w:color w:val="231F20"/>
        </w:rPr>
        <w:t>Housing &amp; Services: Advocacy &amp; Education</w:t>
      </w:r>
    </w:p>
    <w:p>
      <w:pPr>
        <w:spacing w:line="249" w:lineRule="auto" w:before="12"/>
        <w:ind w:left="119" w:right="0" w:firstLine="0"/>
        <w:jc w:val="left"/>
        <w:rPr>
          <w:sz w:val="24"/>
        </w:rPr>
      </w:pPr>
      <w:r>
        <w:rPr>
          <w:color w:val="231F20"/>
          <w:sz w:val="24"/>
        </w:rPr>
        <w:t>Objective: “</w:t>
      </w:r>
      <w:r>
        <w:rPr>
          <w:i/>
          <w:color w:val="231F20"/>
          <w:sz w:val="24"/>
        </w:rPr>
        <w:t>To advocate and educate for separate, exchangeable, and sustainable housing and </w:t>
      </w:r>
      <w:r>
        <w:rPr>
          <w:i/>
          <w:color w:val="231F20"/>
          <w:sz w:val="24"/>
        </w:rPr>
        <w:t>services that are person directed and controlled by people with developmental disabilities</w:t>
      </w:r>
      <w:r>
        <w:rPr>
          <w:color w:val="231F20"/>
          <w:sz w:val="24"/>
        </w:rPr>
        <w:t>.”</w:t>
      </w:r>
    </w:p>
    <w:p>
      <w:pPr>
        <w:pStyle w:val="BodyText"/>
        <w:spacing w:before="2"/>
        <w:rPr>
          <w:sz w:val="25"/>
        </w:rPr>
      </w:pPr>
    </w:p>
    <w:p>
      <w:pPr>
        <w:pStyle w:val="Heading1"/>
        <w:spacing w:before="1"/>
      </w:pPr>
      <w:r>
        <w:rPr>
          <w:color w:val="231F20"/>
        </w:rPr>
        <w:t>Background</w:t>
      </w:r>
    </w:p>
    <w:p>
      <w:pPr>
        <w:pStyle w:val="BodyText"/>
        <w:spacing w:line="249" w:lineRule="auto" w:before="12"/>
        <w:ind w:left="119" w:right="129"/>
      </w:pPr>
      <w:r>
        <w:rPr>
          <w:color w:val="231F20"/>
        </w:rPr>
        <w:t>During years of public forums and listening sessions in Pennsylvania, people with disabilities and their family members have consistently asked for alternatives to provider-managed residential housing and services. The majority of housing for people with disabilities in Pennsylvania are homes owned and managed by provider agencies that also deliver the services for the people living there. Many people also continue to live with their parents and family members long after childhood, with little other options for accessible and sustainable housing and service provision. Council believes Pennsylvania can achieve better alternatives for housing that is separate from services and controlled by people with developmental disabilities. We can do this with renewed commitment to Person Directed Services, Money Follows the Person, The Achieving a Better Life Experience (ABLE) Act, increased flexibility in our state’s Waiver systems, and by providing hands-on assistance to expand housing programs statewide to individuals who want to obtain the housing and services of their choice.</w:t>
      </w:r>
    </w:p>
    <w:p>
      <w:pPr>
        <w:pStyle w:val="BodyText"/>
        <w:rPr>
          <w:sz w:val="26"/>
        </w:rPr>
      </w:pPr>
    </w:p>
    <w:p>
      <w:pPr>
        <w:pStyle w:val="BodyText"/>
        <w:spacing w:line="249" w:lineRule="auto"/>
        <w:ind w:left="119"/>
      </w:pPr>
      <w:r>
        <w:rPr>
          <w:color w:val="231F20"/>
        </w:rPr>
        <w:t>With this Request for Application (RFA), Council seeks to fund one advocacy and education project that will:</w:t>
      </w:r>
    </w:p>
    <w:p>
      <w:pPr>
        <w:pStyle w:val="ListParagraph"/>
        <w:numPr>
          <w:ilvl w:val="0"/>
          <w:numId w:val="1"/>
        </w:numPr>
        <w:tabs>
          <w:tab w:pos="479" w:val="left" w:leader="none"/>
          <w:tab w:pos="480" w:val="left" w:leader="none"/>
        </w:tabs>
        <w:spacing w:line="249" w:lineRule="auto" w:before="2" w:after="0"/>
        <w:ind w:left="479" w:right="948" w:hanging="360"/>
        <w:jc w:val="left"/>
        <w:rPr>
          <w:sz w:val="24"/>
        </w:rPr>
      </w:pPr>
      <w:r>
        <w:rPr>
          <w:color w:val="231F20"/>
          <w:sz w:val="24"/>
        </w:rPr>
        <w:t>Function as a liaison between, and work collaboratively with the two</w:t>
      </w:r>
      <w:r>
        <w:rPr>
          <w:color w:val="231F20"/>
          <w:spacing w:val="-41"/>
          <w:sz w:val="24"/>
        </w:rPr>
        <w:t> </w:t>
      </w:r>
      <w:r>
        <w:rPr>
          <w:color w:val="231F20"/>
          <w:sz w:val="24"/>
        </w:rPr>
        <w:t>Council-funded housing demonstration</w:t>
      </w:r>
      <w:r>
        <w:rPr>
          <w:color w:val="231F20"/>
          <w:spacing w:val="-3"/>
          <w:sz w:val="24"/>
        </w:rPr>
        <w:t> </w:t>
      </w:r>
      <w:r>
        <w:rPr>
          <w:color w:val="231F20"/>
          <w:sz w:val="24"/>
        </w:rPr>
        <w:t>grants.</w:t>
      </w:r>
    </w:p>
    <w:p>
      <w:pPr>
        <w:pStyle w:val="ListParagraph"/>
        <w:numPr>
          <w:ilvl w:val="0"/>
          <w:numId w:val="1"/>
        </w:numPr>
        <w:tabs>
          <w:tab w:pos="479" w:val="left" w:leader="none"/>
          <w:tab w:pos="480" w:val="left" w:leader="none"/>
        </w:tabs>
        <w:spacing w:line="249" w:lineRule="auto" w:before="2" w:after="0"/>
        <w:ind w:left="479" w:right="1336" w:hanging="360"/>
        <w:jc w:val="left"/>
        <w:rPr>
          <w:sz w:val="24"/>
        </w:rPr>
      </w:pPr>
      <w:r>
        <w:rPr>
          <w:color w:val="231F20"/>
          <w:sz w:val="24"/>
        </w:rPr>
        <w:t>Develop and share resources and information on the barriers and best</w:t>
      </w:r>
      <w:r>
        <w:rPr>
          <w:color w:val="231F20"/>
          <w:spacing w:val="-48"/>
          <w:sz w:val="24"/>
        </w:rPr>
        <w:t> </w:t>
      </w:r>
      <w:r>
        <w:rPr>
          <w:color w:val="231F20"/>
          <w:sz w:val="24"/>
        </w:rPr>
        <w:t>practices determined through the demonstration</w:t>
      </w:r>
      <w:r>
        <w:rPr>
          <w:color w:val="231F20"/>
          <w:spacing w:val="-4"/>
          <w:sz w:val="24"/>
        </w:rPr>
        <w:t> </w:t>
      </w:r>
      <w:r>
        <w:rPr>
          <w:color w:val="231F20"/>
          <w:sz w:val="24"/>
        </w:rPr>
        <w:t>grants.</w:t>
      </w:r>
    </w:p>
    <w:p>
      <w:pPr>
        <w:pStyle w:val="ListParagraph"/>
        <w:numPr>
          <w:ilvl w:val="0"/>
          <w:numId w:val="1"/>
        </w:numPr>
        <w:tabs>
          <w:tab w:pos="479" w:val="left" w:leader="none"/>
          <w:tab w:pos="480" w:val="left" w:leader="none"/>
        </w:tabs>
        <w:spacing w:line="249" w:lineRule="auto" w:before="2" w:after="0"/>
        <w:ind w:left="479" w:right="308" w:hanging="360"/>
        <w:jc w:val="left"/>
        <w:rPr>
          <w:sz w:val="24"/>
        </w:rPr>
      </w:pPr>
      <w:r>
        <w:rPr>
          <w:color w:val="231F20"/>
          <w:sz w:val="24"/>
        </w:rPr>
        <w:t>Conduct outreach and advocacy throughout Pennsylvania to create systems change, eradicate</w:t>
      </w:r>
      <w:r>
        <w:rPr>
          <w:color w:val="231F20"/>
          <w:spacing w:val="-5"/>
          <w:sz w:val="24"/>
        </w:rPr>
        <w:t> </w:t>
      </w:r>
      <w:r>
        <w:rPr>
          <w:color w:val="231F20"/>
          <w:sz w:val="24"/>
        </w:rPr>
        <w:t>the</w:t>
      </w:r>
      <w:r>
        <w:rPr>
          <w:color w:val="231F20"/>
          <w:spacing w:val="-3"/>
          <w:sz w:val="24"/>
        </w:rPr>
        <w:t> </w:t>
      </w:r>
      <w:r>
        <w:rPr>
          <w:color w:val="231F20"/>
          <w:sz w:val="24"/>
        </w:rPr>
        <w:t>barriers,</w:t>
      </w:r>
      <w:r>
        <w:rPr>
          <w:color w:val="231F20"/>
          <w:spacing w:val="-5"/>
          <w:sz w:val="24"/>
        </w:rPr>
        <w:t> </w:t>
      </w:r>
      <w:r>
        <w:rPr>
          <w:color w:val="231F20"/>
          <w:sz w:val="24"/>
        </w:rPr>
        <w:t>and</w:t>
      </w:r>
      <w:r>
        <w:rPr>
          <w:color w:val="231F20"/>
          <w:spacing w:val="-4"/>
          <w:sz w:val="24"/>
        </w:rPr>
        <w:t> </w:t>
      </w:r>
      <w:r>
        <w:rPr>
          <w:color w:val="231F20"/>
          <w:sz w:val="24"/>
        </w:rPr>
        <w:t>expand</w:t>
      </w:r>
      <w:r>
        <w:rPr>
          <w:color w:val="231F20"/>
          <w:spacing w:val="-5"/>
          <w:sz w:val="24"/>
        </w:rPr>
        <w:t> </w:t>
      </w:r>
      <w:r>
        <w:rPr>
          <w:color w:val="231F20"/>
          <w:sz w:val="24"/>
        </w:rPr>
        <w:t>knowledge</w:t>
      </w:r>
      <w:r>
        <w:rPr>
          <w:color w:val="231F20"/>
          <w:spacing w:val="-3"/>
          <w:sz w:val="24"/>
        </w:rPr>
        <w:t> </w:t>
      </w:r>
      <w:r>
        <w:rPr>
          <w:color w:val="231F20"/>
          <w:sz w:val="24"/>
        </w:rPr>
        <w:t>of</w:t>
      </w:r>
      <w:r>
        <w:rPr>
          <w:color w:val="231F20"/>
          <w:spacing w:val="-5"/>
          <w:sz w:val="24"/>
        </w:rPr>
        <w:t> </w:t>
      </w:r>
      <w:r>
        <w:rPr>
          <w:color w:val="231F20"/>
          <w:sz w:val="24"/>
        </w:rPr>
        <w:t>the</w:t>
      </w:r>
      <w:r>
        <w:rPr>
          <w:color w:val="231F20"/>
          <w:spacing w:val="-3"/>
          <w:sz w:val="24"/>
        </w:rPr>
        <w:t> </w:t>
      </w:r>
      <w:r>
        <w:rPr>
          <w:color w:val="231F20"/>
          <w:sz w:val="24"/>
        </w:rPr>
        <w:t>best</w:t>
      </w:r>
      <w:r>
        <w:rPr>
          <w:color w:val="231F20"/>
          <w:spacing w:val="-5"/>
          <w:sz w:val="24"/>
        </w:rPr>
        <w:t> </w:t>
      </w:r>
      <w:r>
        <w:rPr>
          <w:color w:val="231F20"/>
          <w:sz w:val="24"/>
        </w:rPr>
        <w:t>practices</w:t>
      </w:r>
      <w:r>
        <w:rPr>
          <w:color w:val="231F20"/>
          <w:spacing w:val="-4"/>
          <w:sz w:val="24"/>
        </w:rPr>
        <w:t> </w:t>
      </w:r>
      <w:r>
        <w:rPr>
          <w:color w:val="231F20"/>
          <w:sz w:val="24"/>
        </w:rPr>
        <w:t>proven</w:t>
      </w:r>
      <w:r>
        <w:rPr>
          <w:color w:val="231F20"/>
          <w:spacing w:val="-5"/>
          <w:sz w:val="24"/>
        </w:rPr>
        <w:t> </w:t>
      </w:r>
      <w:r>
        <w:rPr>
          <w:color w:val="231F20"/>
          <w:sz w:val="24"/>
        </w:rPr>
        <w:t>by</w:t>
      </w:r>
      <w:r>
        <w:rPr>
          <w:color w:val="231F20"/>
          <w:spacing w:val="-4"/>
          <w:sz w:val="24"/>
        </w:rPr>
        <w:t> </w:t>
      </w:r>
      <w:r>
        <w:rPr>
          <w:color w:val="231F20"/>
          <w:sz w:val="24"/>
        </w:rPr>
        <w:t>the</w:t>
      </w:r>
      <w:r>
        <w:rPr>
          <w:color w:val="231F20"/>
          <w:spacing w:val="-3"/>
          <w:sz w:val="24"/>
        </w:rPr>
        <w:t> </w:t>
      </w:r>
      <w:r>
        <w:rPr>
          <w:color w:val="231F20"/>
          <w:sz w:val="24"/>
        </w:rPr>
        <w:t>housing demonstration</w:t>
      </w:r>
      <w:r>
        <w:rPr>
          <w:color w:val="231F20"/>
          <w:spacing w:val="-2"/>
          <w:sz w:val="24"/>
        </w:rPr>
        <w:t> </w:t>
      </w:r>
      <w:r>
        <w:rPr>
          <w:color w:val="231F20"/>
          <w:sz w:val="24"/>
        </w:rPr>
        <w:t>grants.</w:t>
      </w:r>
    </w:p>
    <w:p>
      <w:pPr>
        <w:pStyle w:val="ListParagraph"/>
        <w:numPr>
          <w:ilvl w:val="0"/>
          <w:numId w:val="1"/>
        </w:numPr>
        <w:tabs>
          <w:tab w:pos="479" w:val="left" w:leader="none"/>
          <w:tab w:pos="480" w:val="left" w:leader="none"/>
        </w:tabs>
        <w:spacing w:line="249" w:lineRule="auto" w:before="3" w:after="0"/>
        <w:ind w:left="479" w:right="372" w:hanging="360"/>
        <w:jc w:val="left"/>
        <w:rPr>
          <w:sz w:val="24"/>
        </w:rPr>
      </w:pPr>
      <w:r>
        <w:rPr>
          <w:color w:val="231F20"/>
          <w:sz w:val="24"/>
        </w:rPr>
        <w:t>Create and provide training and technical assistance to support replication of the housing and service models developed by the demonstration housing</w:t>
      </w:r>
      <w:r>
        <w:rPr>
          <w:color w:val="231F20"/>
          <w:spacing w:val="-12"/>
          <w:sz w:val="24"/>
        </w:rPr>
        <w:t> </w:t>
      </w:r>
      <w:r>
        <w:rPr>
          <w:color w:val="231F20"/>
          <w:sz w:val="24"/>
        </w:rPr>
        <w:t>grants.</w:t>
      </w:r>
    </w:p>
    <w:p>
      <w:pPr>
        <w:pStyle w:val="BodyText"/>
        <w:spacing w:before="3"/>
        <w:rPr>
          <w:sz w:val="25"/>
        </w:rPr>
      </w:pPr>
    </w:p>
    <w:p>
      <w:pPr>
        <w:pStyle w:val="BodyText"/>
        <w:spacing w:line="249" w:lineRule="auto"/>
        <w:ind w:left="119"/>
      </w:pPr>
      <w:r>
        <w:rPr>
          <w:color w:val="231F20"/>
        </w:rPr>
        <w:t>NOTE: As this grant is for only two years, the successful applicant must propose immediate, ambitious and focused plans of action.</w:t>
      </w:r>
    </w:p>
    <w:p>
      <w:pPr>
        <w:pStyle w:val="BodyText"/>
        <w:rPr>
          <w:sz w:val="20"/>
        </w:rPr>
      </w:pPr>
    </w:p>
    <w:p>
      <w:pPr>
        <w:pStyle w:val="BodyText"/>
        <w:rPr>
          <w:sz w:val="20"/>
        </w:rPr>
      </w:pPr>
    </w:p>
    <w:p>
      <w:pPr>
        <w:pStyle w:val="BodyText"/>
        <w:spacing w:before="9"/>
        <w:rPr>
          <w:sz w:val="21"/>
        </w:rPr>
      </w:pPr>
    </w:p>
    <w:p>
      <w:pPr>
        <w:spacing w:line="242" w:lineRule="exact" w:before="101"/>
        <w:ind w:left="20" w:right="0" w:firstLine="0"/>
        <w:jc w:val="center"/>
        <w:rPr>
          <w:rFonts w:ascii="Montserrat"/>
          <w:sz w:val="20"/>
        </w:rPr>
      </w:pPr>
      <w:r>
        <w:rPr>
          <w:rFonts w:ascii="Montserrat"/>
          <w:color w:val="414042"/>
          <w:sz w:val="20"/>
        </w:rPr>
        <w:t>2330 Vartan Way, Suite 130, Harrisburg PA 17110</w:t>
      </w:r>
    </w:p>
    <w:p>
      <w:pPr>
        <w:tabs>
          <w:tab w:pos="2324" w:val="left" w:leader="none"/>
          <w:tab w:pos="3808" w:val="left" w:leader="none"/>
          <w:tab w:pos="6530" w:val="left" w:leader="none"/>
        </w:tabs>
        <w:spacing w:line="242" w:lineRule="exact" w:before="0"/>
        <w:ind w:left="20" w:right="0" w:firstLine="0"/>
        <w:jc w:val="center"/>
        <w:rPr>
          <w:rFonts w:ascii="Montserrat"/>
          <w:sz w:val="20"/>
        </w:rPr>
      </w:pPr>
      <w:r>
        <w:rPr>
          <w:rFonts w:ascii="Montserrat"/>
          <w:color w:val="414042"/>
          <w:sz w:val="20"/>
        </w:rPr>
        <w:t>Phone:</w:t>
      </w:r>
      <w:r>
        <w:rPr>
          <w:rFonts w:ascii="Montserrat"/>
          <w:color w:val="414042"/>
          <w:spacing w:val="-5"/>
          <w:sz w:val="20"/>
        </w:rPr>
        <w:t> </w:t>
      </w:r>
      <w:r>
        <w:rPr>
          <w:rFonts w:ascii="Montserrat"/>
          <w:color w:val="414042"/>
          <w:sz w:val="20"/>
        </w:rPr>
        <w:t>717-787-6057</w:t>
        <w:tab/>
      </w:r>
      <w:r>
        <w:rPr>
          <w:rFonts w:ascii="Montserrat"/>
          <w:color w:val="414042"/>
          <w:spacing w:val="-4"/>
          <w:sz w:val="20"/>
        </w:rPr>
        <w:t>PA</w:t>
      </w:r>
      <w:r>
        <w:rPr>
          <w:rFonts w:ascii="Montserrat"/>
          <w:color w:val="414042"/>
          <w:spacing w:val="-1"/>
          <w:sz w:val="20"/>
        </w:rPr>
        <w:t> </w:t>
      </w:r>
      <w:r>
        <w:rPr>
          <w:rFonts w:ascii="Montserrat"/>
          <w:color w:val="414042"/>
          <w:sz w:val="20"/>
        </w:rPr>
        <w:t>Relay:</w:t>
      </w:r>
      <w:r>
        <w:rPr>
          <w:rFonts w:ascii="Montserrat"/>
          <w:color w:val="414042"/>
          <w:spacing w:val="-1"/>
          <w:sz w:val="20"/>
        </w:rPr>
        <w:t> </w:t>
      </w:r>
      <w:r>
        <w:rPr>
          <w:rFonts w:ascii="Montserrat"/>
          <w:color w:val="414042"/>
          <w:sz w:val="20"/>
        </w:rPr>
        <w:t>711</w:t>
        <w:tab/>
      </w:r>
      <w:r>
        <w:rPr>
          <w:rFonts w:ascii="Montserrat"/>
          <w:color w:val="414042"/>
          <w:spacing w:val="-4"/>
          <w:sz w:val="20"/>
        </w:rPr>
        <w:t>Toll</w:t>
      </w:r>
      <w:r>
        <w:rPr>
          <w:rFonts w:ascii="Montserrat"/>
          <w:color w:val="414042"/>
          <w:spacing w:val="-1"/>
          <w:sz w:val="20"/>
        </w:rPr>
        <w:t> </w:t>
      </w:r>
      <w:r>
        <w:rPr>
          <w:rFonts w:ascii="Montserrat"/>
          <w:color w:val="414042"/>
          <w:sz w:val="20"/>
        </w:rPr>
        <w:t>Free:</w:t>
      </w:r>
      <w:r>
        <w:rPr>
          <w:rFonts w:ascii="Montserrat"/>
          <w:color w:val="414042"/>
          <w:spacing w:val="-1"/>
          <w:sz w:val="20"/>
        </w:rPr>
        <w:t> </w:t>
      </w:r>
      <w:r>
        <w:rPr>
          <w:rFonts w:ascii="Montserrat"/>
          <w:color w:val="414042"/>
          <w:sz w:val="20"/>
        </w:rPr>
        <w:t>1-877-685-4452</w:t>
        <w:tab/>
      </w:r>
      <w:hyperlink r:id="rId5">
        <w:r>
          <w:rPr>
            <w:rFonts w:ascii="Montserrat"/>
            <w:color w:val="414042"/>
            <w:sz w:val="20"/>
          </w:rPr>
          <w:t>www.paddc.org</w:t>
        </w:r>
      </w:hyperlink>
    </w:p>
    <w:p>
      <w:pPr>
        <w:spacing w:after="0" w:line="242" w:lineRule="exact"/>
        <w:jc w:val="center"/>
        <w:rPr>
          <w:rFonts w:ascii="Montserrat"/>
          <w:sz w:val="20"/>
        </w:rPr>
        <w:sectPr>
          <w:type w:val="continuous"/>
          <w:pgSz w:w="12240" w:h="15840"/>
          <w:pgMar w:top="360" w:bottom="0" w:left="960" w:right="980"/>
        </w:sectPr>
      </w:pPr>
    </w:p>
    <w:p>
      <w:pPr>
        <w:pStyle w:val="Heading1"/>
        <w:spacing w:before="66"/>
        <w:ind w:left="120"/>
      </w:pPr>
      <w:r>
        <w:rPr>
          <w:color w:val="231F20"/>
        </w:rPr>
        <w:t>Important Information and Dates</w:t>
      </w:r>
    </w:p>
    <w:p>
      <w:pPr>
        <w:pStyle w:val="ListParagraph"/>
        <w:numPr>
          <w:ilvl w:val="0"/>
          <w:numId w:val="2"/>
        </w:numPr>
        <w:tabs>
          <w:tab w:pos="479" w:val="left" w:leader="none"/>
          <w:tab w:pos="480" w:val="left" w:leader="none"/>
        </w:tabs>
        <w:spacing w:line="240" w:lineRule="auto" w:before="12" w:after="0"/>
        <w:ind w:left="480" w:right="0" w:hanging="360"/>
        <w:jc w:val="left"/>
        <w:rPr>
          <w:sz w:val="24"/>
        </w:rPr>
      </w:pPr>
      <w:r>
        <w:rPr>
          <w:color w:val="231F20"/>
          <w:sz w:val="24"/>
        </w:rPr>
        <w:t>Planned Allocation: One Project @ $45,000 per </w:t>
      </w:r>
      <w:r>
        <w:rPr>
          <w:color w:val="231F20"/>
          <w:spacing w:val="-3"/>
          <w:sz w:val="24"/>
        </w:rPr>
        <w:t>year, </w:t>
      </w:r>
      <w:r>
        <w:rPr>
          <w:color w:val="231F20"/>
          <w:sz w:val="24"/>
        </w:rPr>
        <w:t>for up to two</w:t>
      </w:r>
      <w:r>
        <w:rPr>
          <w:color w:val="231F20"/>
          <w:spacing w:val="-17"/>
          <w:sz w:val="24"/>
        </w:rPr>
        <w:t> </w:t>
      </w:r>
      <w:r>
        <w:rPr>
          <w:color w:val="231F20"/>
          <w:sz w:val="24"/>
        </w:rPr>
        <w:t>years</w:t>
      </w:r>
    </w:p>
    <w:p>
      <w:pPr>
        <w:pStyle w:val="ListParagraph"/>
        <w:numPr>
          <w:ilvl w:val="0"/>
          <w:numId w:val="2"/>
        </w:numPr>
        <w:tabs>
          <w:tab w:pos="479" w:val="left" w:leader="none"/>
          <w:tab w:pos="480" w:val="left" w:leader="none"/>
        </w:tabs>
        <w:spacing w:line="249" w:lineRule="auto" w:before="92" w:after="0"/>
        <w:ind w:left="480" w:right="2316" w:hanging="360"/>
        <w:jc w:val="left"/>
        <w:rPr>
          <w:sz w:val="24"/>
        </w:rPr>
      </w:pPr>
      <w:r>
        <w:rPr>
          <w:color w:val="231F20"/>
          <w:sz w:val="24"/>
        </w:rPr>
        <w:t>Preapplication Conference Date: Thursday, October 10, 2019 at 1</w:t>
      </w:r>
      <w:r>
        <w:rPr>
          <w:color w:val="231F20"/>
          <w:spacing w:val="-49"/>
          <w:sz w:val="24"/>
        </w:rPr>
        <w:t> </w:t>
      </w:r>
      <w:r>
        <w:rPr>
          <w:color w:val="231F20"/>
          <w:sz w:val="24"/>
        </w:rPr>
        <w:t>p.m. Webinar:</w:t>
      </w:r>
      <w:hyperlink r:id="rId6">
        <w:r>
          <w:rPr>
            <w:color w:val="231F20"/>
            <w:spacing w:val="-3"/>
            <w:sz w:val="24"/>
          </w:rPr>
          <w:t> </w:t>
        </w:r>
        <w:r>
          <w:rPr>
            <w:color w:val="231F20"/>
            <w:sz w:val="24"/>
          </w:rPr>
          <w:t>http://paddc.adobeconnect.com/housing0819/</w:t>
        </w:r>
      </w:hyperlink>
    </w:p>
    <w:p>
      <w:pPr>
        <w:pStyle w:val="BodyText"/>
        <w:spacing w:before="2"/>
        <w:ind w:left="480"/>
      </w:pPr>
      <w:r>
        <w:rPr>
          <w:color w:val="231F20"/>
        </w:rPr>
        <w:t>Conference Call: 1-866-210-1669 code: 3478987# (if you don't have web access)</w:t>
      </w:r>
    </w:p>
    <w:p>
      <w:pPr>
        <w:pStyle w:val="ListParagraph"/>
        <w:numPr>
          <w:ilvl w:val="0"/>
          <w:numId w:val="2"/>
        </w:numPr>
        <w:tabs>
          <w:tab w:pos="479" w:val="left" w:leader="none"/>
          <w:tab w:pos="480" w:val="left" w:leader="none"/>
        </w:tabs>
        <w:spacing w:line="240" w:lineRule="auto" w:before="92" w:after="0"/>
        <w:ind w:left="480" w:right="0" w:hanging="360"/>
        <w:jc w:val="left"/>
        <w:rPr>
          <w:sz w:val="24"/>
        </w:rPr>
      </w:pPr>
      <w:r>
        <w:rPr>
          <w:color w:val="231F20"/>
          <w:sz w:val="24"/>
        </w:rPr>
        <w:t>Due Date for Applications: </w:t>
      </w:r>
      <w:r>
        <w:rPr>
          <w:color w:val="231F20"/>
          <w:spacing w:val="-3"/>
          <w:sz w:val="24"/>
        </w:rPr>
        <w:t>Monday, </w:t>
      </w:r>
      <w:r>
        <w:rPr>
          <w:color w:val="231F20"/>
          <w:sz w:val="24"/>
        </w:rPr>
        <w:t>November 4,</w:t>
      </w:r>
      <w:r>
        <w:rPr>
          <w:color w:val="231F20"/>
          <w:spacing w:val="-17"/>
          <w:sz w:val="24"/>
        </w:rPr>
        <w:t> </w:t>
      </w:r>
      <w:r>
        <w:rPr>
          <w:color w:val="231F20"/>
          <w:sz w:val="24"/>
        </w:rPr>
        <w:t>2019</w:t>
      </w:r>
    </w:p>
    <w:p>
      <w:pPr>
        <w:pStyle w:val="BodyText"/>
        <w:spacing w:before="1"/>
        <w:rPr>
          <w:sz w:val="26"/>
        </w:rPr>
      </w:pPr>
    </w:p>
    <w:p>
      <w:pPr>
        <w:spacing w:line="249" w:lineRule="auto" w:before="0"/>
        <w:ind w:left="119" w:right="275" w:firstLine="0"/>
        <w:jc w:val="left"/>
        <w:rPr>
          <w:b/>
          <w:i/>
          <w:sz w:val="24"/>
        </w:rPr>
      </w:pPr>
      <w:r>
        <w:rPr>
          <w:color w:val="231F20"/>
          <w:sz w:val="24"/>
        </w:rPr>
        <w:t>In order to apply for this grant, you must follow the procedures outlined in the </w:t>
      </w:r>
      <w:r>
        <w:rPr>
          <w:b/>
          <w:color w:val="231F20"/>
          <w:sz w:val="24"/>
        </w:rPr>
        <w:t>full </w:t>
      </w:r>
      <w:r>
        <w:rPr>
          <w:color w:val="231F20"/>
          <w:sz w:val="24"/>
        </w:rPr>
        <w:t>Request for Application document. This includes submitting the Interest Form located in the forms section of the Appendix. </w:t>
      </w:r>
      <w:r>
        <w:rPr>
          <w:b/>
          <w:i/>
          <w:color w:val="231F20"/>
          <w:sz w:val="24"/>
        </w:rPr>
        <w:t>Failure to meet the mandatory requirements will mean automatic </w:t>
      </w:r>
      <w:r>
        <w:rPr>
          <w:b/>
          <w:i/>
          <w:color w:val="231F20"/>
          <w:sz w:val="24"/>
        </w:rPr>
        <w:t>disqualification.</w:t>
      </w:r>
    </w:p>
    <w:p>
      <w:pPr>
        <w:pStyle w:val="BodyText"/>
        <w:spacing w:before="5"/>
        <w:rPr>
          <w:b/>
          <w:i/>
          <w:sz w:val="25"/>
        </w:rPr>
      </w:pPr>
    </w:p>
    <w:p>
      <w:pPr>
        <w:pStyle w:val="BodyText"/>
        <w:spacing w:line="249" w:lineRule="auto"/>
        <w:ind w:left="119"/>
      </w:pPr>
      <w:r>
        <w:rPr>
          <w:color w:val="231F20"/>
        </w:rPr>
        <w:t>If you have reviewed the full Request for Application and have additional questions, please contact:</w:t>
      </w:r>
    </w:p>
    <w:p>
      <w:pPr>
        <w:pStyle w:val="BodyText"/>
        <w:spacing w:before="2"/>
        <w:ind w:left="119"/>
      </w:pPr>
      <w:r>
        <w:rPr>
          <w:color w:val="231F20"/>
        </w:rPr>
        <w:t>Dana Thompson, Project Officer</w:t>
      </w:r>
    </w:p>
    <w:p>
      <w:pPr>
        <w:pStyle w:val="BodyText"/>
        <w:spacing w:before="12"/>
        <w:ind w:left="119"/>
      </w:pPr>
      <w:r>
        <w:rPr>
          <w:color w:val="231F20"/>
        </w:rPr>
        <w:t>Phone: 717-214-8103 | Email: </w:t>
      </w:r>
      <w:hyperlink r:id="rId7">
        <w:r>
          <w:rPr>
            <w:color w:val="231F20"/>
          </w:rPr>
          <w:t>danathomps@pa.gov</w:t>
        </w:r>
      </w:hyperlink>
    </w:p>
    <w:sectPr>
      <w:pgSz w:w="12240" w:h="15840"/>
      <w:pgMar w:top="1320" w:bottom="280" w:left="96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ontserrat">
    <w:altName w:val="Montserrat"/>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80" w:hanging="360"/>
      </w:pPr>
      <w:rPr>
        <w:rFonts w:hint="default" w:ascii="Arial" w:hAnsi="Arial" w:eastAsia="Arial" w:cs="Arial"/>
        <w:color w:val="231F20"/>
        <w:spacing w:val="-14"/>
        <w:w w:val="100"/>
        <w:sz w:val="24"/>
        <w:szCs w:val="24"/>
      </w:rPr>
    </w:lvl>
    <w:lvl w:ilvl="1">
      <w:start w:val="0"/>
      <w:numFmt w:val="bullet"/>
      <w:lvlText w:val="•"/>
      <w:lvlJc w:val="left"/>
      <w:pPr>
        <w:ind w:left="146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426" w:hanging="360"/>
      </w:pPr>
      <w:rPr>
        <w:rFonts w:hint="default"/>
      </w:rPr>
    </w:lvl>
    <w:lvl w:ilvl="4">
      <w:start w:val="0"/>
      <w:numFmt w:val="bullet"/>
      <w:lvlText w:val="•"/>
      <w:lvlJc w:val="left"/>
      <w:pPr>
        <w:ind w:left="4408" w:hanging="360"/>
      </w:pPr>
      <w:rPr>
        <w:rFonts w:hint="default"/>
      </w:rPr>
    </w:lvl>
    <w:lvl w:ilvl="5">
      <w:start w:val="0"/>
      <w:numFmt w:val="bullet"/>
      <w:lvlText w:val="•"/>
      <w:lvlJc w:val="left"/>
      <w:pPr>
        <w:ind w:left="5390" w:hanging="360"/>
      </w:pPr>
      <w:rPr>
        <w:rFonts w:hint="default"/>
      </w:rPr>
    </w:lvl>
    <w:lvl w:ilvl="6">
      <w:start w:val="0"/>
      <w:numFmt w:val="bullet"/>
      <w:lvlText w:val="•"/>
      <w:lvlJc w:val="left"/>
      <w:pPr>
        <w:ind w:left="6372" w:hanging="360"/>
      </w:pPr>
      <w:rPr>
        <w:rFonts w:hint="default"/>
      </w:rPr>
    </w:lvl>
    <w:lvl w:ilvl="7">
      <w:start w:val="0"/>
      <w:numFmt w:val="bullet"/>
      <w:lvlText w:val="•"/>
      <w:lvlJc w:val="left"/>
      <w:pPr>
        <w:ind w:left="7354" w:hanging="360"/>
      </w:pPr>
      <w:rPr>
        <w:rFonts w:hint="default"/>
      </w:rPr>
    </w:lvl>
    <w:lvl w:ilvl="8">
      <w:start w:val="0"/>
      <w:numFmt w:val="bullet"/>
      <w:lvlText w:val="•"/>
      <w:lvlJc w:val="left"/>
      <w:pPr>
        <w:ind w:left="8336" w:hanging="360"/>
      </w:pPr>
      <w:rPr>
        <w:rFonts w:hint="default"/>
      </w:rPr>
    </w:lvl>
  </w:abstractNum>
  <w:abstractNum w:abstractNumId="0">
    <w:multiLevelType w:val="hybridMultilevel"/>
    <w:lvl w:ilvl="0">
      <w:start w:val="0"/>
      <w:numFmt w:val="bullet"/>
      <w:lvlText w:val="•"/>
      <w:lvlJc w:val="left"/>
      <w:pPr>
        <w:ind w:left="479" w:hanging="360"/>
      </w:pPr>
      <w:rPr>
        <w:rFonts w:hint="default" w:ascii="Arial" w:hAnsi="Arial" w:eastAsia="Arial" w:cs="Arial"/>
        <w:color w:val="231F20"/>
        <w:spacing w:val="-1"/>
        <w:w w:val="100"/>
        <w:sz w:val="24"/>
        <w:szCs w:val="24"/>
      </w:rPr>
    </w:lvl>
    <w:lvl w:ilvl="1">
      <w:start w:val="0"/>
      <w:numFmt w:val="bullet"/>
      <w:lvlText w:val="•"/>
      <w:lvlJc w:val="left"/>
      <w:pPr>
        <w:ind w:left="146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426" w:hanging="360"/>
      </w:pPr>
      <w:rPr>
        <w:rFonts w:hint="default"/>
      </w:rPr>
    </w:lvl>
    <w:lvl w:ilvl="4">
      <w:start w:val="0"/>
      <w:numFmt w:val="bullet"/>
      <w:lvlText w:val="•"/>
      <w:lvlJc w:val="left"/>
      <w:pPr>
        <w:ind w:left="4408" w:hanging="360"/>
      </w:pPr>
      <w:rPr>
        <w:rFonts w:hint="default"/>
      </w:rPr>
    </w:lvl>
    <w:lvl w:ilvl="5">
      <w:start w:val="0"/>
      <w:numFmt w:val="bullet"/>
      <w:lvlText w:val="•"/>
      <w:lvlJc w:val="left"/>
      <w:pPr>
        <w:ind w:left="5390" w:hanging="360"/>
      </w:pPr>
      <w:rPr>
        <w:rFonts w:hint="default"/>
      </w:rPr>
    </w:lvl>
    <w:lvl w:ilvl="6">
      <w:start w:val="0"/>
      <w:numFmt w:val="bullet"/>
      <w:lvlText w:val="•"/>
      <w:lvlJc w:val="left"/>
      <w:pPr>
        <w:ind w:left="6372" w:hanging="360"/>
      </w:pPr>
      <w:rPr>
        <w:rFonts w:hint="default"/>
      </w:rPr>
    </w:lvl>
    <w:lvl w:ilvl="7">
      <w:start w:val="0"/>
      <w:numFmt w:val="bullet"/>
      <w:lvlText w:val="•"/>
      <w:lvlJc w:val="left"/>
      <w:pPr>
        <w:ind w:left="7354" w:hanging="360"/>
      </w:pPr>
      <w:rPr>
        <w:rFonts w:hint="default"/>
      </w:rPr>
    </w:lvl>
    <w:lvl w:ilvl="8">
      <w:start w:val="0"/>
      <w:numFmt w:val="bullet"/>
      <w:lvlText w:val="•"/>
      <w:lvlJc w:val="left"/>
      <w:pPr>
        <w:ind w:left="833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19"/>
      <w:outlineLvl w:val="1"/>
    </w:pPr>
    <w:rPr>
      <w:rFonts w:ascii="Arial" w:hAnsi="Arial" w:eastAsia="Arial" w:cs="Arial"/>
      <w:b/>
      <w:bCs/>
      <w:sz w:val="24"/>
      <w:szCs w:val="24"/>
    </w:rPr>
  </w:style>
  <w:style w:styleId="ListParagraph" w:type="paragraph">
    <w:name w:val="List Paragraph"/>
    <w:basedOn w:val="Normal"/>
    <w:uiPriority w:val="1"/>
    <w:qFormat/>
    <w:pPr>
      <w:spacing w:before="2"/>
      <w:ind w:left="479"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paddc.org/" TargetMode="External"/><Relationship Id="rId6" Type="http://schemas.openxmlformats.org/officeDocument/2006/relationships/hyperlink" Target="http://paddc.adobeconnect.com/housing0819/" TargetMode="External"/><Relationship Id="rId7" Type="http://schemas.openxmlformats.org/officeDocument/2006/relationships/hyperlink" Target="mailto:danathomps@pa.gov"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Fall 2019 announcement letter</dc:title>
  <dcterms:created xsi:type="dcterms:W3CDTF">2019-09-10T14:04:01Z</dcterms:created>
  <dcterms:modified xsi:type="dcterms:W3CDTF">2019-09-10T14:04:01Z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Adobe Illustrator CC 23.0 (Windows)</vt:lpwstr>
  </property>
  <property fmtid="{D5CDD505-2E9C-101B-9397-08002B2CF9AE}" pid="4" name="LastSaved">
    <vt:filetime>2019-09-10T00:00:00Z</vt:filetime>
  </property>
</Properties>
</file>